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4C" w:rsidRDefault="00EF284C" w:rsidP="001E4626">
      <w:pPr>
        <w:widowControl/>
        <w:spacing w:line="560" w:lineRule="exact"/>
        <w:jc w:val="left"/>
        <w:rPr>
          <w:rFonts w:ascii="Times New Roman" w:eastAsia="方正小标宋简体" w:hAnsi="宋体" w:cs="宋体"/>
          <w:kern w:val="0"/>
          <w:sz w:val="42"/>
          <w:szCs w:val="42"/>
        </w:rPr>
      </w:pPr>
    </w:p>
    <w:p w:rsidR="00EF284C" w:rsidRDefault="00EF284C" w:rsidP="001E4626">
      <w:pPr>
        <w:widowControl/>
        <w:spacing w:line="560" w:lineRule="exact"/>
        <w:jc w:val="left"/>
        <w:rPr>
          <w:rFonts w:ascii="Times New Roman" w:eastAsia="方正小标宋简体" w:hAnsi="宋体" w:cs="宋体"/>
          <w:kern w:val="0"/>
          <w:sz w:val="42"/>
          <w:szCs w:val="42"/>
        </w:rPr>
      </w:pPr>
    </w:p>
    <w:p w:rsidR="00EF284C" w:rsidRPr="00A643CF" w:rsidRDefault="00EF284C" w:rsidP="00A643CF">
      <w:pPr>
        <w:widowControl/>
        <w:spacing w:line="700" w:lineRule="exact"/>
        <w:jc w:val="center"/>
        <w:rPr>
          <w:rFonts w:ascii="Times New Roman" w:eastAsia="方正小标宋简体" w:hAnsi="宋体" w:cs="宋体"/>
          <w:kern w:val="0"/>
          <w:sz w:val="44"/>
          <w:szCs w:val="44"/>
        </w:rPr>
      </w:pPr>
      <w:r w:rsidRPr="00A643CF">
        <w:rPr>
          <w:rFonts w:ascii="Times New Roman" w:eastAsia="方正小标宋简体" w:hAnsi="宋体" w:cs="宋体" w:hint="eastAsia"/>
          <w:kern w:val="0"/>
          <w:sz w:val="44"/>
          <w:szCs w:val="44"/>
        </w:rPr>
        <w:t>市广电总台关于开展廉洁风险点排查防控</w:t>
      </w:r>
    </w:p>
    <w:p w:rsidR="00EF284C" w:rsidRPr="00A643CF" w:rsidRDefault="00EF284C" w:rsidP="00A643CF">
      <w:pPr>
        <w:widowControl/>
        <w:spacing w:line="700" w:lineRule="exact"/>
        <w:jc w:val="center"/>
        <w:rPr>
          <w:rFonts w:ascii="Times New Roman" w:eastAsia="方正小标宋简体" w:hAnsi="宋体" w:cs="宋体"/>
          <w:kern w:val="0"/>
          <w:sz w:val="44"/>
          <w:szCs w:val="44"/>
        </w:rPr>
      </w:pPr>
      <w:r w:rsidRPr="00A643CF">
        <w:rPr>
          <w:rFonts w:ascii="Times New Roman" w:eastAsia="方正小标宋简体" w:hAnsi="宋体" w:cs="宋体" w:hint="eastAsia"/>
          <w:kern w:val="0"/>
          <w:sz w:val="44"/>
          <w:szCs w:val="44"/>
        </w:rPr>
        <w:t>管理的通知</w:t>
      </w:r>
    </w:p>
    <w:p w:rsidR="00EF284C" w:rsidRPr="004B7CEA" w:rsidRDefault="00EF284C" w:rsidP="0007442B">
      <w:pPr>
        <w:widowControl/>
        <w:spacing w:line="540" w:lineRule="exact"/>
        <w:jc w:val="left"/>
        <w:rPr>
          <w:rFonts w:ascii="宋体" w:eastAsia="方正仿宋简体" w:hAnsi="宋体" w:cs="宋体"/>
          <w:kern w:val="0"/>
          <w:sz w:val="32"/>
          <w:szCs w:val="32"/>
        </w:rPr>
      </w:pPr>
      <w:r w:rsidRPr="004B7CEA">
        <w:rPr>
          <w:rFonts w:ascii="宋体" w:eastAsia="方正仿宋简体" w:hAnsi="宋体" w:cs="宋体" w:hint="eastAsia"/>
          <w:kern w:val="0"/>
          <w:sz w:val="32"/>
          <w:szCs w:val="32"/>
        </w:rPr>
        <w:t>总台各部门：</w:t>
      </w:r>
    </w:p>
    <w:p w:rsidR="00EF284C" w:rsidRPr="004B7CEA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eastAsia="方正仿宋简体" w:hAnsi="宋体" w:cs="宋体"/>
          <w:kern w:val="0"/>
          <w:sz w:val="32"/>
          <w:szCs w:val="32"/>
        </w:rPr>
      </w:pPr>
      <w:r>
        <w:rPr>
          <w:rFonts w:ascii="宋体" w:eastAsia="方正仿宋简体" w:hAnsi="宋体" w:cs="宋体" w:hint="eastAsia"/>
          <w:kern w:val="0"/>
          <w:sz w:val="32"/>
          <w:szCs w:val="32"/>
        </w:rPr>
        <w:t>依据市委办、市政府办关于</w:t>
      </w:r>
      <w:r w:rsidRPr="004B7CEA">
        <w:rPr>
          <w:rFonts w:ascii="宋体" w:eastAsia="方正仿宋简体" w:hAnsi="宋体" w:cs="宋体" w:hint="eastAsia"/>
          <w:kern w:val="0"/>
          <w:sz w:val="32"/>
          <w:szCs w:val="32"/>
        </w:rPr>
        <w:t>《宿迁市廉洁风险点排查防控管理办法（试行）》的通知要求，总台决定在全台开展廉洁风险点排查防控管理，现将有关事项通知如下：</w:t>
      </w:r>
    </w:p>
    <w:p w:rsidR="00EF284C" w:rsidRPr="00A548C3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黑体_GBK" w:eastAsia="方正黑体_GBK" w:hAnsi="黑体" w:cs="宋体"/>
          <w:kern w:val="0"/>
          <w:sz w:val="24"/>
          <w:szCs w:val="24"/>
        </w:rPr>
      </w:pPr>
      <w:r w:rsidRPr="00A548C3">
        <w:rPr>
          <w:rFonts w:ascii="宋体" w:eastAsia="方正黑体_GBK" w:hAnsi="宋体" w:cs="宋体"/>
          <w:kern w:val="0"/>
          <w:sz w:val="32"/>
          <w:szCs w:val="32"/>
        </w:rPr>
        <w:t> </w:t>
      </w:r>
      <w:r w:rsidRPr="00A548C3">
        <w:rPr>
          <w:rFonts w:ascii="方正黑体_GBK" w:eastAsia="方正黑体_GBK" w:hAnsi="黑体" w:cs="宋体" w:hint="eastAsia"/>
          <w:kern w:val="0"/>
          <w:sz w:val="32"/>
          <w:szCs w:val="32"/>
        </w:rPr>
        <w:t>一、排查内容</w:t>
      </w:r>
    </w:p>
    <w:p w:rsidR="00EF284C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1E4626">
        <w:rPr>
          <w:rFonts w:ascii="方正仿宋简体" w:eastAsia="方正仿宋简体" w:hAnsi="宋体" w:cs="宋体" w:hint="eastAsia"/>
          <w:kern w:val="0"/>
          <w:sz w:val="32"/>
          <w:szCs w:val="32"/>
        </w:rPr>
        <w:t>全台各部门围绕本部门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人、财、物运行，紧盯腐败易发多发的领域和部位，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重点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排查</w:t>
      </w:r>
      <w:r w:rsidRPr="00277627">
        <w:rPr>
          <w:rFonts w:ascii="宋体" w:hAnsi="宋体" w:cs="宋体"/>
          <w:kern w:val="0"/>
          <w:sz w:val="32"/>
          <w:szCs w:val="32"/>
        </w:rPr>
        <w:t xml:space="preserve"> </w:t>
      </w:r>
      <w:r w:rsidRPr="00277627">
        <w:rPr>
          <w:rFonts w:ascii="宋体" w:hAnsi="宋体" w:cs="宋体" w:hint="eastAsia"/>
          <w:kern w:val="0"/>
          <w:sz w:val="32"/>
          <w:szCs w:val="32"/>
        </w:rPr>
        <w:t>“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岗位职责</w:t>
      </w:r>
      <w:r w:rsidRPr="00277627">
        <w:rPr>
          <w:rFonts w:ascii="宋体" w:cs="宋体" w:hint="eastAsia"/>
          <w:kern w:val="0"/>
          <w:sz w:val="32"/>
          <w:szCs w:val="32"/>
        </w:rPr>
        <w:t>”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277627">
        <w:rPr>
          <w:rFonts w:ascii="宋体" w:cs="宋体" w:hint="eastAsia"/>
          <w:kern w:val="0"/>
          <w:sz w:val="32"/>
          <w:szCs w:val="32"/>
        </w:rPr>
        <w:t>“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业务流程</w:t>
      </w:r>
      <w:r w:rsidRPr="00277627">
        <w:rPr>
          <w:rFonts w:ascii="宋体" w:cs="宋体" w:hint="eastAsia"/>
          <w:kern w:val="0"/>
          <w:sz w:val="32"/>
          <w:szCs w:val="32"/>
        </w:rPr>
        <w:t>”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277627">
        <w:rPr>
          <w:rFonts w:ascii="宋体" w:cs="宋体" w:hint="eastAsia"/>
          <w:kern w:val="0"/>
          <w:sz w:val="32"/>
          <w:szCs w:val="32"/>
        </w:rPr>
        <w:t>“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制度机制</w:t>
      </w:r>
      <w:r w:rsidRPr="00277627">
        <w:rPr>
          <w:rFonts w:ascii="宋体" w:cs="宋体" w:hint="eastAsia"/>
          <w:kern w:val="0"/>
          <w:sz w:val="32"/>
          <w:szCs w:val="32"/>
        </w:rPr>
        <w:t>”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、</w:t>
      </w:r>
      <w:r w:rsidRPr="00277627">
        <w:rPr>
          <w:rFonts w:ascii="宋体" w:cs="宋体" w:hint="eastAsia"/>
          <w:kern w:val="0"/>
          <w:sz w:val="32"/>
          <w:szCs w:val="32"/>
        </w:rPr>
        <w:t>“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重点项目</w:t>
      </w:r>
      <w:r w:rsidRPr="00277627">
        <w:rPr>
          <w:rFonts w:ascii="宋体" w:cs="宋体" w:hint="eastAsia"/>
          <w:kern w:val="0"/>
          <w:sz w:val="32"/>
          <w:szCs w:val="32"/>
        </w:rPr>
        <w:t>”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等方面存在的风险。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（一）岗位职责风险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。重点查找由于权力结构不合理、权力高度集中，自由裁量权幅度过大，造成权力滥用、中层梗阻、为官不为等，可能发生与岗位有关的腐败行为而导致的风险。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（二）业务流程风险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。重点查找由于业务流程缺失，或者业务流程不健全、不规范、不合理、操作性不强，可能导致发生腐败的风险。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（三）制度机制风险。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重点查找规章制度不健全、监督制约机制不完善，制度“空转”、执行不到位，可能导致权力失控的风险。</w:t>
      </w:r>
    </w:p>
    <w:p w:rsidR="00EF284C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（四）重点项目风险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。重点查找本单部门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牵头承担的涉及资金量较大的重点项目，在项目实施过程各环节，由于未进行风险点排查、未制定防控措施或者防控措施落实不到位，可能导致行为失范的风险。</w:t>
      </w:r>
    </w:p>
    <w:p w:rsidR="00EF284C" w:rsidRPr="00A548C3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黑体_GBK" w:eastAsia="方正黑体_GBK" w:hAnsi="黑体" w:cs="宋体"/>
          <w:kern w:val="0"/>
          <w:sz w:val="24"/>
          <w:szCs w:val="24"/>
        </w:rPr>
      </w:pPr>
      <w:r w:rsidRPr="00A548C3">
        <w:rPr>
          <w:rFonts w:ascii="方正黑体_GBK" w:eastAsia="方正黑体_GBK" w:hAnsi="黑体" w:cs="宋体" w:hint="eastAsia"/>
          <w:kern w:val="0"/>
          <w:sz w:val="32"/>
          <w:szCs w:val="32"/>
        </w:rPr>
        <w:t>二、排查方法</w:t>
      </w:r>
    </w:p>
    <w:p w:rsidR="00EF284C" w:rsidRPr="00DD7EF7" w:rsidRDefault="00EF284C" w:rsidP="00FA61E8">
      <w:pPr>
        <w:widowControl/>
        <w:spacing w:line="540" w:lineRule="exact"/>
        <w:ind w:firstLineChars="200" w:firstLine="31680"/>
        <w:rPr>
          <w:rFonts w:ascii="宋体" w:cs="宋体"/>
          <w:kern w:val="0"/>
          <w:sz w:val="24"/>
          <w:szCs w:val="24"/>
        </w:rPr>
      </w:pPr>
      <w:r>
        <w:rPr>
          <w:rFonts w:ascii="宋体" w:eastAsia="方正仿宋简体" w:hAnsi="宋体" w:cs="宋体" w:hint="eastAsia"/>
          <w:kern w:val="0"/>
          <w:sz w:val="32"/>
          <w:szCs w:val="32"/>
        </w:rPr>
        <w:t>各部门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主要负责人要按照全面从严治党要求，认真落实</w:t>
      </w:r>
      <w:r w:rsidRPr="00277627">
        <w:rPr>
          <w:rFonts w:ascii="宋体" w:eastAsia="方正仿宋简体" w:hAnsi="宋体" w:cs="宋体"/>
          <w:kern w:val="0"/>
          <w:sz w:val="32"/>
          <w:szCs w:val="32"/>
        </w:rPr>
        <w:t xml:space="preserve"> 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“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两个责任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”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，按照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职责抓好廉洁风险点排查防控工作。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廉洁风险点排查要结合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部门和岗位职责以及可能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诱发各类腐败案件的原因，按照全员参与的原则，采取自上而下和自下而上相结合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的方式，通过职工自己查找、群众评议、组织审定等，查找本部门、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权力运行存在风险。</w:t>
      </w:r>
    </w:p>
    <w:p w:rsidR="00EF284C" w:rsidRPr="00A548C3" w:rsidRDefault="00EF284C" w:rsidP="00FA61E8">
      <w:pPr>
        <w:widowControl/>
        <w:spacing w:line="540" w:lineRule="exact"/>
        <w:ind w:firstLineChars="250" w:firstLine="31680"/>
        <w:jc w:val="left"/>
        <w:rPr>
          <w:rFonts w:ascii="方正黑体_GBK" w:eastAsia="方正黑体_GBK" w:hAnsi="黑体" w:cs="宋体"/>
          <w:kern w:val="0"/>
          <w:sz w:val="24"/>
          <w:szCs w:val="24"/>
        </w:rPr>
      </w:pPr>
      <w:r w:rsidRPr="00A548C3">
        <w:rPr>
          <w:rFonts w:ascii="方正黑体_GBK" w:eastAsia="方正黑体_GBK" w:hAnsi="黑体" w:cs="宋体" w:hint="eastAsia"/>
          <w:kern w:val="0"/>
          <w:sz w:val="32"/>
          <w:szCs w:val="32"/>
        </w:rPr>
        <w:t>三、分级管理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各部门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要根据权力运行情况、自由裁量权大小、腐败现象发生的概率及危害程度等因素，把排查出的廉洁风险点由</w:t>
      </w:r>
      <w:r w:rsidRPr="0007442B">
        <w:rPr>
          <w:rFonts w:ascii="方正仿宋简体" w:eastAsia="方正仿宋简体" w:hAnsi="宋体" w:cs="宋体" w:hint="eastAsia"/>
          <w:spacing w:val="1"/>
          <w:w w:val="98"/>
          <w:kern w:val="0"/>
          <w:sz w:val="32"/>
          <w:szCs w:val="32"/>
          <w:fitText w:val="8800" w:id="1446768640"/>
        </w:rPr>
        <w:t>高到低按照一、二、三级进行评定，</w:t>
      </w:r>
      <w:r w:rsidRPr="0007442B">
        <w:rPr>
          <w:rFonts w:ascii="Times New Roman" w:eastAsia="方正仿宋简体" w:hAnsi="宋体" w:cs="宋体" w:hint="eastAsia"/>
          <w:spacing w:val="1"/>
          <w:w w:val="98"/>
          <w:kern w:val="0"/>
          <w:sz w:val="32"/>
          <w:szCs w:val="32"/>
          <w:fitText w:val="8800" w:id="1446768640"/>
        </w:rPr>
        <w:t>实行分级管理、分级负责</w:t>
      </w:r>
      <w:r w:rsidRPr="0007442B">
        <w:rPr>
          <w:rFonts w:ascii="Times New Roman" w:eastAsia="方正仿宋简体" w:hAnsi="宋体" w:cs="宋体" w:hint="eastAsia"/>
          <w:spacing w:val="-2"/>
          <w:w w:val="98"/>
          <w:kern w:val="0"/>
          <w:sz w:val="32"/>
          <w:szCs w:val="32"/>
          <w:fitText w:val="8800" w:id="1446768640"/>
        </w:rPr>
        <w:t>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（一）“一级风险”。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主要为重大事项</w:t>
      </w:r>
      <w:hyperlink r:id="rId6" w:tgtFrame="_blank" w:history="1">
        <w:r w:rsidRPr="00277627">
          <w:rPr>
            <w:rFonts w:ascii="Times New Roman" w:eastAsia="方正仿宋简体" w:hAnsi="宋体" w:cs="宋体" w:hint="eastAsia"/>
            <w:color w:val="000000"/>
            <w:kern w:val="0"/>
            <w:sz w:val="32"/>
          </w:rPr>
          <w:t>决策</w:t>
        </w:r>
      </w:hyperlink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、重要干部任免、重要项目安排、大额资金使用等方面容易出现或滋生违纪违法行为风险，由分管领导负直接责任，主要领导负领导责任；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（二）“二级风险”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主要为行政审批、行政执法、行政许可等方面可能出现或造成一般违规违纪行为的风险，由内设机构负责人负直接责任，分管领导负领导责任；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（三）“三级风险”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主要为办事效率、工作作风、服务质量等方面可能出现或造成轻微违规行为的风险，由相关人员负直接责任，内设机构负责人负领导责任。</w:t>
      </w:r>
    </w:p>
    <w:p w:rsidR="00EF284C" w:rsidRPr="00A548C3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黑体_GBK" w:eastAsia="方正黑体_GBK" w:cs="宋体"/>
          <w:kern w:val="0"/>
          <w:sz w:val="32"/>
          <w:szCs w:val="32"/>
        </w:rPr>
      </w:pPr>
      <w:r w:rsidRPr="00A548C3">
        <w:rPr>
          <w:rFonts w:ascii="方正黑体_GBK" w:eastAsia="方正黑体_GBK" w:hAnsi="宋体" w:cs="宋体" w:hint="eastAsia"/>
          <w:kern w:val="0"/>
          <w:sz w:val="32"/>
          <w:szCs w:val="32"/>
        </w:rPr>
        <w:t>四、防控办法</w:t>
      </w:r>
      <w:r w:rsidRPr="00A548C3">
        <w:rPr>
          <w:rFonts w:ascii="方正黑体_GBK" w:eastAsia="方正黑体_GBK" w:hAnsi="宋体" w:cs="宋体"/>
          <w:kern w:val="0"/>
          <w:sz w:val="32"/>
          <w:szCs w:val="32"/>
        </w:rPr>
        <w:t xml:space="preserve"> </w:t>
      </w:r>
      <w:r w:rsidRPr="00A548C3">
        <w:rPr>
          <w:rFonts w:ascii="方正黑体_GBK" w:eastAsia="方正黑体_GBK" w:cs="宋体"/>
          <w:kern w:val="0"/>
          <w:sz w:val="32"/>
          <w:szCs w:val="32"/>
        </w:rPr>
        <w:t> 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围绕排查确定的各类风险点和风险等级，有针对性地制定切实管用、操作性强的防控措施。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（一）教育防控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通过开展党性党风党纪教育、岗位廉洁教育、警示教育等，引导干部职工自觉警惕廉洁风险，正确行使手中权力，不断提升拒腐防变能力。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（二）分权防控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按照分权制衡原则，进一步优化权力结构，规范权力运行，防止和纠正权力过于集中、个人专断、暗箱操作等问题，提高权力运行透明度。</w:t>
      </w:r>
    </w:p>
    <w:p w:rsidR="00EF284C" w:rsidRPr="00277627" w:rsidRDefault="00EF284C" w:rsidP="00FA61E8">
      <w:pPr>
        <w:widowControl/>
        <w:spacing w:line="540" w:lineRule="exact"/>
        <w:ind w:firstLineChars="200" w:firstLine="31680"/>
        <w:jc w:val="left"/>
        <w:rPr>
          <w:rFonts w:ascii="宋体" w:cs="宋体"/>
          <w:kern w:val="0"/>
          <w:sz w:val="24"/>
          <w:szCs w:val="24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（三）制度防控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加强内控制度建设，积极构建科学配套、务实管用的制度体系，努力以制度管权、管事、管人。同时健全制度执行责任机制和监督机制，提高制度执行力。</w:t>
      </w:r>
    </w:p>
    <w:p w:rsidR="00EF284C" w:rsidRDefault="00EF284C" w:rsidP="00FA61E8">
      <w:pPr>
        <w:widowControl/>
        <w:spacing w:line="540" w:lineRule="exact"/>
        <w:ind w:firstLineChars="200" w:firstLine="31680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（四）科技防控</w:t>
      </w:r>
      <w:r w:rsidRPr="00277627">
        <w:rPr>
          <w:rFonts w:ascii="方正仿宋简体" w:eastAsia="方正仿宋简体" w:hAnsi="宋体" w:cs="宋体" w:hint="eastAsia"/>
          <w:kern w:val="0"/>
          <w:sz w:val="32"/>
          <w:szCs w:val="32"/>
        </w:rPr>
        <w:t>。针对公共权力运行、公共资源交易、公共资金使用等重点领域和关键环节，运用网络、电子、大数据等现代信息技术手段，建立全程监控和动态预警网络，防控廉洁风险。</w:t>
      </w:r>
    </w:p>
    <w:p w:rsidR="00EF284C" w:rsidRPr="00A548C3" w:rsidRDefault="00EF284C" w:rsidP="0007442B">
      <w:pPr>
        <w:widowControl/>
        <w:spacing w:line="540" w:lineRule="exact"/>
        <w:ind w:firstLine="640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A548C3">
        <w:rPr>
          <w:rFonts w:ascii="方正黑体_GBK" w:eastAsia="方正黑体_GBK" w:hAnsi="宋体" w:cs="宋体" w:hint="eastAsia"/>
          <w:kern w:val="0"/>
          <w:sz w:val="32"/>
          <w:szCs w:val="32"/>
        </w:rPr>
        <w:t>五、组织领导</w:t>
      </w:r>
    </w:p>
    <w:p w:rsidR="00EF284C" w:rsidRDefault="00EF284C" w:rsidP="0007442B">
      <w:pPr>
        <w:widowControl/>
        <w:spacing w:line="540" w:lineRule="exact"/>
        <w:ind w:firstLine="64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总台党委班子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成员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、各部门主要负责人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要按照全面从严治党要求，认真落实</w:t>
      </w:r>
      <w:r w:rsidRPr="00277627">
        <w:rPr>
          <w:rFonts w:ascii="宋体" w:eastAsia="方正仿宋简体" w:hAnsi="宋体" w:cs="宋体"/>
          <w:kern w:val="0"/>
          <w:sz w:val="32"/>
          <w:szCs w:val="32"/>
        </w:rPr>
        <w:t xml:space="preserve"> 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“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两个责任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”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，按照各自职责抓好廉洁风险点排查防控工作。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党委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履行廉洁风险点排查防控工作主体责任。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党委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主要负责人履行廉洁风险点排查防控工作第一责任人责任。党委班子成员履行廉洁风险点排查防控工作</w:t>
      </w:r>
      <w:r w:rsidRPr="00277627">
        <w:rPr>
          <w:rFonts w:ascii="宋体" w:eastAsia="方正仿宋简体" w:hAnsi="宋体" w:cs="宋体"/>
          <w:kern w:val="0"/>
          <w:sz w:val="32"/>
          <w:szCs w:val="32"/>
        </w:rPr>
        <w:t xml:space="preserve"> 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“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一岗双责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”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。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纪检监察机构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履行廉洁风险点排查防控监督责任。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各部门主要负责人要按照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“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一岗双责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”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的要求开展本部门的廉洁风险点排查防控工作。广电总台廉洁风险点排查防控工作牵头部门为监察室，负责组织协调、分析汇总、监督检查等工作。</w:t>
      </w:r>
    </w:p>
    <w:p w:rsidR="00EF284C" w:rsidRPr="00A548C3" w:rsidRDefault="00EF284C" w:rsidP="0007442B">
      <w:pPr>
        <w:widowControl/>
        <w:spacing w:line="540" w:lineRule="exact"/>
        <w:ind w:firstLine="640"/>
        <w:jc w:val="left"/>
        <w:rPr>
          <w:rFonts w:ascii="方正黑体_GBK" w:eastAsia="方正黑体_GBK" w:hAnsi="黑体" w:cs="宋体"/>
          <w:kern w:val="0"/>
          <w:sz w:val="32"/>
          <w:szCs w:val="32"/>
        </w:rPr>
      </w:pPr>
      <w:r w:rsidRPr="00A548C3">
        <w:rPr>
          <w:rFonts w:ascii="方正黑体_GBK" w:eastAsia="方正黑体_GBK" w:hAnsi="黑体" w:cs="宋体" w:hint="eastAsia"/>
          <w:kern w:val="0"/>
          <w:sz w:val="32"/>
          <w:szCs w:val="32"/>
        </w:rPr>
        <w:t>六、时间安排</w:t>
      </w:r>
    </w:p>
    <w:p w:rsidR="00EF284C" w:rsidRDefault="00EF284C" w:rsidP="0007442B">
      <w:pPr>
        <w:widowControl/>
        <w:spacing w:line="540" w:lineRule="exact"/>
        <w:ind w:firstLine="64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（一）动员部署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  <w:r>
        <w:rPr>
          <w:rFonts w:ascii="Times New Roman" w:eastAsia="方正仿宋简体" w:hAnsi="宋体" w:cs="宋体"/>
          <w:kern w:val="0"/>
          <w:sz w:val="32"/>
          <w:szCs w:val="32"/>
        </w:rPr>
        <w:t>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5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</w:t>
      </w:r>
      <w:r>
        <w:rPr>
          <w:rFonts w:ascii="Times New Roman" w:eastAsia="方正仿宋简体" w:hAnsi="宋体" w:cs="宋体"/>
          <w:kern w:val="0"/>
          <w:sz w:val="32"/>
          <w:szCs w:val="32"/>
        </w:rPr>
        <w:t>-6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7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日，部署开展廉洁风险点排查防控工作。</w:t>
      </w:r>
    </w:p>
    <w:p w:rsidR="00EF284C" w:rsidRPr="00545570" w:rsidRDefault="00EF284C" w:rsidP="00FA61E8">
      <w:pPr>
        <w:widowControl/>
        <w:spacing w:line="540" w:lineRule="exact"/>
        <w:ind w:firstLineChars="200" w:firstLine="3168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（二）风险排查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  <w:r>
        <w:rPr>
          <w:rFonts w:ascii="Times New Roman" w:eastAsia="方正仿宋简体" w:hAnsi="宋体" w:cs="宋体"/>
          <w:kern w:val="0"/>
          <w:sz w:val="32"/>
          <w:szCs w:val="32"/>
        </w:rPr>
        <w:t>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8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</w:t>
      </w:r>
      <w:r>
        <w:rPr>
          <w:rFonts w:ascii="Times New Roman" w:eastAsia="方正仿宋简体" w:hAnsi="宋体" w:cs="宋体"/>
          <w:kern w:val="0"/>
          <w:sz w:val="32"/>
          <w:szCs w:val="32"/>
        </w:rPr>
        <w:t>-6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16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日，各部门安排部门所有人员填写《风险岗位</w:t>
      </w:r>
      <w:r w:rsidRPr="00545570">
        <w:rPr>
          <w:rFonts w:ascii="Times New Roman" w:eastAsia="方正仿宋简体" w:hAnsi="宋体" w:cs="宋体" w:hint="eastAsia"/>
          <w:kern w:val="0"/>
          <w:sz w:val="32"/>
          <w:szCs w:val="32"/>
        </w:rPr>
        <w:t>廉洁风险点排查防控表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》（相同岗位名称的可一并填写），在各部门员工填写的基础上，由各部门负责人填写《部门</w:t>
      </w:r>
      <w:r w:rsidRPr="00545570">
        <w:rPr>
          <w:rFonts w:ascii="Times New Roman" w:eastAsia="方正仿宋简体" w:hAnsi="宋体" w:cs="宋体" w:hint="eastAsia"/>
          <w:kern w:val="0"/>
          <w:sz w:val="32"/>
          <w:szCs w:val="32"/>
        </w:rPr>
        <w:t>廉洁风险点排查防控表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》（表格可从总台网站下载）。《风险岗位</w:t>
      </w:r>
      <w:r w:rsidRPr="00545570">
        <w:rPr>
          <w:rFonts w:ascii="Times New Roman" w:eastAsia="方正仿宋简体" w:hAnsi="宋体" w:cs="宋体" w:hint="eastAsia"/>
          <w:kern w:val="0"/>
          <w:sz w:val="32"/>
          <w:szCs w:val="32"/>
        </w:rPr>
        <w:t>廉洁风险点排查防控表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》和《部门</w:t>
      </w:r>
      <w:r w:rsidRPr="00545570">
        <w:rPr>
          <w:rFonts w:ascii="Times New Roman" w:eastAsia="方正仿宋简体" w:hAnsi="宋体" w:cs="宋体" w:hint="eastAsia"/>
          <w:kern w:val="0"/>
          <w:sz w:val="32"/>
          <w:szCs w:val="32"/>
        </w:rPr>
        <w:t>廉洁风险点排查防控表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》于</w:t>
      </w:r>
      <w:r>
        <w:rPr>
          <w:rFonts w:ascii="Times New Roman" w:eastAsia="方正仿宋简体" w:hAnsi="宋体" w:cs="宋体"/>
          <w:kern w:val="0"/>
          <w:sz w:val="32"/>
          <w:szCs w:val="32"/>
        </w:rPr>
        <w:t>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16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日报送至监察室存档，并将《部门</w:t>
      </w:r>
      <w:r w:rsidRPr="00545570">
        <w:rPr>
          <w:rFonts w:ascii="Times New Roman" w:eastAsia="方正仿宋简体" w:hAnsi="宋体" w:cs="宋体" w:hint="eastAsia"/>
          <w:kern w:val="0"/>
          <w:sz w:val="32"/>
          <w:szCs w:val="32"/>
        </w:rPr>
        <w:t>廉洁风险点排查防控表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》电子档发至监察室邮箱</w:t>
      </w:r>
      <w:r w:rsidRPr="003725D5">
        <w:rPr>
          <w:rFonts w:ascii="Times New Roman" w:eastAsia="方正仿宋简体" w:hAnsi="宋体" w:cs="宋体"/>
          <w:kern w:val="0"/>
          <w:sz w:val="32"/>
          <w:szCs w:val="32"/>
        </w:rPr>
        <w:t>gdztjcs@163.com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。</w:t>
      </w:r>
    </w:p>
    <w:p w:rsidR="00EF284C" w:rsidRPr="00795900" w:rsidRDefault="00EF284C" w:rsidP="0007442B">
      <w:pPr>
        <w:widowControl/>
        <w:spacing w:line="540" w:lineRule="exact"/>
        <w:ind w:firstLine="64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 w:rsidRPr="00A548C3">
        <w:rPr>
          <w:rFonts w:ascii="方正楷体_GBK" w:eastAsia="方正楷体_GBK" w:hAnsi="楷体" w:cs="宋体" w:hint="eastAsia"/>
          <w:kern w:val="0"/>
          <w:sz w:val="32"/>
          <w:szCs w:val="32"/>
        </w:rPr>
        <w:t>（三）制定防控措施</w:t>
      </w:r>
      <w:r w:rsidRPr="00A548C3">
        <w:rPr>
          <w:rFonts w:ascii="方正楷体_GBK" w:eastAsia="方正楷体_GBK" w:hAnsi="宋体" w:cs="宋体" w:hint="eastAsia"/>
          <w:kern w:val="0"/>
          <w:sz w:val="32"/>
          <w:szCs w:val="32"/>
        </w:rPr>
        <w:t>。</w:t>
      </w:r>
      <w:r>
        <w:rPr>
          <w:rFonts w:ascii="Times New Roman" w:eastAsia="方正仿宋简体" w:hAnsi="宋体" w:cs="宋体"/>
          <w:kern w:val="0"/>
          <w:sz w:val="32"/>
          <w:szCs w:val="32"/>
        </w:rPr>
        <w:t>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17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</w:t>
      </w:r>
      <w:r>
        <w:rPr>
          <w:rFonts w:ascii="Times New Roman" w:eastAsia="方正仿宋简体" w:hAnsi="宋体" w:cs="宋体"/>
          <w:kern w:val="0"/>
          <w:sz w:val="32"/>
          <w:szCs w:val="32"/>
        </w:rPr>
        <w:t>-6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月</w:t>
      </w:r>
      <w:r>
        <w:rPr>
          <w:rFonts w:ascii="Times New Roman" w:eastAsia="方正仿宋简体" w:hAnsi="宋体" w:cs="宋体"/>
          <w:kern w:val="0"/>
          <w:sz w:val="32"/>
          <w:szCs w:val="32"/>
        </w:rPr>
        <w:t>30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日，由各部门负责人根据部门排查出的廉洁风险制定相应的防控措施，制定内控制度，并严格落实防控措施，有效杜绝违规违纪问题的发生。</w:t>
      </w:r>
    </w:p>
    <w:p w:rsidR="00EF284C" w:rsidRPr="00A548C3" w:rsidRDefault="00EF284C" w:rsidP="0007442B">
      <w:pPr>
        <w:widowControl/>
        <w:spacing w:line="540" w:lineRule="exact"/>
        <w:ind w:firstLine="640"/>
        <w:jc w:val="left"/>
        <w:rPr>
          <w:rFonts w:ascii="方正黑体_GBK" w:eastAsia="方正黑体_GBK" w:hAnsi="黑体" w:cs="宋体"/>
          <w:kern w:val="0"/>
          <w:sz w:val="32"/>
          <w:szCs w:val="32"/>
        </w:rPr>
      </w:pPr>
      <w:r>
        <w:rPr>
          <w:rFonts w:ascii="方正黑体_GBK" w:eastAsia="方正黑体_GBK" w:hAnsi="黑体" w:cs="宋体" w:hint="eastAsia"/>
          <w:kern w:val="0"/>
          <w:sz w:val="32"/>
          <w:szCs w:val="32"/>
        </w:rPr>
        <w:t>七</w:t>
      </w:r>
      <w:r w:rsidRPr="00A548C3">
        <w:rPr>
          <w:rFonts w:ascii="方正黑体_GBK" w:eastAsia="方正黑体_GBK" w:hAnsi="黑体" w:cs="宋体" w:hint="eastAsia"/>
          <w:kern w:val="0"/>
          <w:sz w:val="32"/>
          <w:szCs w:val="32"/>
        </w:rPr>
        <w:t>、强化问责</w:t>
      </w:r>
    </w:p>
    <w:p w:rsidR="00EF284C" w:rsidRDefault="00EF284C" w:rsidP="0007442B">
      <w:pPr>
        <w:widowControl/>
        <w:spacing w:line="540" w:lineRule="exact"/>
        <w:ind w:firstLine="64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对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未按规定履行廉洁风险点排查防控工作</w:t>
      </w:r>
      <w:r w:rsidRPr="00277627">
        <w:rPr>
          <w:rFonts w:ascii="宋体" w:eastAsia="方正仿宋简体" w:hAnsi="宋体" w:cs="宋体"/>
          <w:kern w:val="0"/>
          <w:sz w:val="32"/>
          <w:szCs w:val="32"/>
        </w:rPr>
        <w:t xml:space="preserve"> 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“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一岗双责</w:t>
      </w:r>
      <w:r w:rsidRPr="00277627">
        <w:rPr>
          <w:rFonts w:ascii="宋体" w:eastAsia="方正仿宋简体" w:hAnsi="宋体" w:cs="宋体" w:hint="eastAsia"/>
          <w:kern w:val="0"/>
          <w:sz w:val="32"/>
          <w:szCs w:val="32"/>
        </w:rPr>
        <w:t>”</w:t>
      </w:r>
      <w:r>
        <w:rPr>
          <w:rFonts w:ascii="宋体" w:eastAsia="方正仿宋简体" w:hAnsi="宋体" w:cs="宋体" w:hint="eastAsia"/>
          <w:kern w:val="0"/>
          <w:sz w:val="32"/>
          <w:szCs w:val="32"/>
        </w:rPr>
        <w:t>的，将实施问责。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对</w:t>
      </w: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有关责任人</w:t>
      </w:r>
      <w:r w:rsidRPr="00277627">
        <w:rPr>
          <w:rFonts w:ascii="Times New Roman" w:eastAsia="方正仿宋简体" w:hAnsi="宋体" w:cs="宋体" w:hint="eastAsia"/>
          <w:kern w:val="0"/>
          <w:sz w:val="32"/>
          <w:szCs w:val="32"/>
        </w:rPr>
        <w:t>因防控措施落实不到位导致违规违纪行为发生的，根据违规违纪情节，综合运用监督执纪“四种形态”，严肃进行处理。</w:t>
      </w:r>
    </w:p>
    <w:p w:rsidR="00EF284C" w:rsidRDefault="00EF284C" w:rsidP="0007442B">
      <w:pPr>
        <w:widowControl/>
        <w:spacing w:line="540" w:lineRule="exact"/>
        <w:ind w:firstLine="640"/>
        <w:jc w:val="left"/>
        <w:rPr>
          <w:rFonts w:ascii="Times New Roman" w:eastAsia="方正仿宋简体" w:hAnsi="宋体" w:cs="宋体"/>
          <w:kern w:val="0"/>
          <w:sz w:val="32"/>
          <w:szCs w:val="32"/>
        </w:rPr>
      </w:pPr>
      <w:r w:rsidRPr="00FE3B1C">
        <w:rPr>
          <w:rFonts w:ascii="Times New Roman" w:eastAsia="方正仿宋简体" w:hAnsi="宋体" w:cs="宋体" w:hint="eastAsia"/>
          <w:kern w:val="0"/>
          <w:sz w:val="32"/>
          <w:szCs w:val="32"/>
        </w:rPr>
        <w:t>附件：廉洁风险点排查防控表</w:t>
      </w:r>
    </w:p>
    <w:p w:rsidR="00EF284C" w:rsidRDefault="00EF284C" w:rsidP="0007442B">
      <w:pPr>
        <w:widowControl/>
        <w:spacing w:line="540" w:lineRule="exact"/>
        <w:ind w:right="480" w:firstLine="640"/>
        <w:jc w:val="right"/>
        <w:rPr>
          <w:rFonts w:ascii="Times New Roman" w:eastAsia="方正仿宋简体" w:hAnsi="宋体" w:cs="宋体"/>
          <w:kern w:val="0"/>
          <w:sz w:val="32"/>
          <w:szCs w:val="32"/>
        </w:rPr>
      </w:pPr>
      <w:r>
        <w:rPr>
          <w:rFonts w:ascii="Times New Roman" w:eastAsia="方正仿宋简体" w:hAnsi="宋体" w:cs="宋体" w:hint="eastAsia"/>
          <w:kern w:val="0"/>
          <w:sz w:val="32"/>
          <w:szCs w:val="32"/>
        </w:rPr>
        <w:t>宿迁市广播电视总台</w:t>
      </w:r>
    </w:p>
    <w:p w:rsidR="00EF284C" w:rsidRPr="00C15E69" w:rsidRDefault="00EF284C" w:rsidP="0007442B">
      <w:pPr>
        <w:widowControl/>
        <w:spacing w:line="540" w:lineRule="exact"/>
        <w:ind w:right="480" w:firstLine="640"/>
        <w:jc w:val="right"/>
        <w:rPr>
          <w:rFonts w:ascii="Times New Roman" w:eastAsia="方正仿宋简体" w:hAnsi="宋体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7"/>
        </w:smartTagPr>
        <w:r>
          <w:rPr>
            <w:rFonts w:ascii="Times New Roman" w:eastAsia="方正仿宋简体" w:hAnsi="宋体" w:cs="宋体"/>
            <w:kern w:val="0"/>
            <w:sz w:val="32"/>
            <w:szCs w:val="32"/>
          </w:rPr>
          <w:t>2017</w:t>
        </w:r>
        <w:r>
          <w:rPr>
            <w:rFonts w:ascii="Times New Roman" w:eastAsia="方正仿宋简体" w:hAnsi="宋体" w:cs="宋体" w:hint="eastAsia"/>
            <w:kern w:val="0"/>
            <w:sz w:val="32"/>
            <w:szCs w:val="32"/>
          </w:rPr>
          <w:t>年</w:t>
        </w:r>
        <w:r>
          <w:rPr>
            <w:rFonts w:ascii="Times New Roman" w:eastAsia="方正仿宋简体" w:hAnsi="宋体" w:cs="宋体"/>
            <w:kern w:val="0"/>
            <w:sz w:val="32"/>
            <w:szCs w:val="32"/>
          </w:rPr>
          <w:t>5</w:t>
        </w:r>
        <w:r>
          <w:rPr>
            <w:rFonts w:ascii="Times New Roman" w:eastAsia="方正仿宋简体" w:hAnsi="宋体" w:cs="宋体" w:hint="eastAsia"/>
            <w:kern w:val="0"/>
            <w:sz w:val="32"/>
            <w:szCs w:val="32"/>
          </w:rPr>
          <w:t>月</w:t>
        </w:r>
        <w:r>
          <w:rPr>
            <w:rFonts w:ascii="Times New Roman" w:eastAsia="方正仿宋简体" w:hAnsi="宋体" w:cs="宋体"/>
            <w:kern w:val="0"/>
            <w:sz w:val="32"/>
            <w:szCs w:val="32"/>
          </w:rPr>
          <w:t>31</w:t>
        </w:r>
        <w:r>
          <w:rPr>
            <w:rFonts w:ascii="Times New Roman" w:eastAsia="方正仿宋简体" w:hAnsi="宋体" w:cs="宋体" w:hint="eastAsia"/>
            <w:kern w:val="0"/>
            <w:sz w:val="32"/>
            <w:szCs w:val="32"/>
          </w:rPr>
          <w:t>日</w:t>
        </w:r>
      </w:smartTag>
    </w:p>
    <w:p w:rsidR="00EF284C" w:rsidRPr="00A643CF" w:rsidRDefault="00EF284C" w:rsidP="00A643CF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643C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A643CF"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风险岗位廉洁风险点排查防控表</w:t>
      </w:r>
    </w:p>
    <w:p w:rsidR="00EF284C" w:rsidRPr="00A643CF" w:rsidRDefault="00EF284C" w:rsidP="00795900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部室名称：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     </w:t>
      </w: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填表时间：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947"/>
        <w:gridCol w:w="1273"/>
        <w:gridCol w:w="2177"/>
        <w:gridCol w:w="941"/>
        <w:gridCol w:w="2268"/>
      </w:tblGrid>
      <w:tr w:rsidR="00EF284C" w:rsidRPr="0081234C" w:rsidTr="00613368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风险岗位</w:t>
            </w: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风险点</w:t>
            </w:r>
          </w:p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177" w:type="dxa"/>
          </w:tcPr>
          <w:p w:rsidR="00EF284C" w:rsidRDefault="00EF284C" w:rsidP="0061336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风险内容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</w:p>
          <w:p w:rsidR="00EF284C" w:rsidRPr="0081234C" w:rsidRDefault="00EF284C" w:rsidP="0061336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表现形式</w:t>
            </w:r>
          </w:p>
        </w:tc>
        <w:tc>
          <w:tcPr>
            <w:tcW w:w="941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</w:t>
            </w:r>
          </w:p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268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防控措施</w:t>
            </w:r>
          </w:p>
        </w:tc>
      </w:tr>
      <w:tr w:rsidR="00EF284C" w:rsidRPr="0081234C" w:rsidTr="00613368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284C" w:rsidRPr="0081234C" w:rsidTr="00613368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284C" w:rsidRPr="0081234C" w:rsidTr="00613368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F284C" w:rsidRDefault="00EF284C" w:rsidP="001E462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EF284C" w:rsidRPr="00A643CF" w:rsidRDefault="00EF284C" w:rsidP="001E462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填表人签名：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                    </w:t>
      </w:r>
    </w:p>
    <w:p w:rsidR="00EF284C" w:rsidRPr="00A643CF" w:rsidRDefault="00EF284C" w:rsidP="001E462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部门负责人签名：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</w:t>
      </w:r>
    </w:p>
    <w:p w:rsidR="00EF284C" w:rsidRPr="00A643CF" w:rsidRDefault="00EF284C" w:rsidP="001E4626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EF284C" w:rsidRDefault="00EF284C" w:rsidP="00FA61E8">
      <w:pPr>
        <w:widowControl/>
        <w:spacing w:line="560" w:lineRule="exact"/>
        <w:ind w:firstLineChars="950" w:firstLine="31680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</w:p>
    <w:p w:rsidR="00EF284C" w:rsidRDefault="00EF284C" w:rsidP="00A643CF">
      <w:pPr>
        <w:widowControl/>
        <w:spacing w:line="560" w:lineRule="exac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附件</w:t>
      </w:r>
      <w:r>
        <w:rPr>
          <w:rFonts w:ascii="方正黑体简体" w:eastAsia="方正黑体简体" w:hAnsi="宋体" w:cs="宋体"/>
          <w:kern w:val="0"/>
          <w:sz w:val="32"/>
          <w:szCs w:val="32"/>
        </w:rPr>
        <w:t>2</w:t>
      </w:r>
    </w:p>
    <w:p w:rsidR="00EF284C" w:rsidRDefault="00EF284C" w:rsidP="00A643CF">
      <w:pPr>
        <w:widowControl/>
        <w:spacing w:line="560" w:lineRule="exact"/>
        <w:jc w:val="center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部门廉洁风险点排查防控表</w:t>
      </w:r>
    </w:p>
    <w:p w:rsidR="00EF284C" w:rsidRPr="00A643CF" w:rsidRDefault="00EF284C" w:rsidP="00931921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部室名称：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        </w:t>
      </w: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填表时间：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947"/>
        <w:gridCol w:w="1273"/>
        <w:gridCol w:w="1984"/>
        <w:gridCol w:w="1134"/>
        <w:gridCol w:w="1453"/>
        <w:gridCol w:w="2160"/>
      </w:tblGrid>
      <w:tr w:rsidR="00EF284C" w:rsidRPr="0081234C" w:rsidTr="003725D5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风险岗位</w:t>
            </w: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风险点</w:t>
            </w:r>
          </w:p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4" w:type="dxa"/>
          </w:tcPr>
          <w:p w:rsidR="00EF284C" w:rsidRDefault="00EF284C" w:rsidP="00EC63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风险内容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</w:p>
          <w:p w:rsidR="00EF284C" w:rsidRPr="0081234C" w:rsidRDefault="00EF284C" w:rsidP="00EC63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表现形式</w:t>
            </w:r>
          </w:p>
        </w:tc>
        <w:tc>
          <w:tcPr>
            <w:tcW w:w="1134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风险</w:t>
            </w:r>
          </w:p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1453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160" w:type="dxa"/>
          </w:tcPr>
          <w:p w:rsidR="00EF284C" w:rsidRPr="0081234C" w:rsidRDefault="00EF284C" w:rsidP="0081234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1234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防控措施</w:t>
            </w:r>
          </w:p>
        </w:tc>
      </w:tr>
      <w:tr w:rsidR="00EF284C" w:rsidRPr="0081234C" w:rsidTr="003725D5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284C" w:rsidRPr="0081234C" w:rsidTr="003725D5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F284C" w:rsidRPr="0081234C" w:rsidTr="003725D5">
        <w:trPr>
          <w:jc w:val="center"/>
        </w:trPr>
        <w:tc>
          <w:tcPr>
            <w:tcW w:w="946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47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F284C" w:rsidRPr="0081234C" w:rsidRDefault="00EF284C" w:rsidP="0081234C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F284C" w:rsidRPr="00A643CF" w:rsidRDefault="00EF284C" w:rsidP="00931921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          </w:t>
      </w:r>
    </w:p>
    <w:p w:rsidR="00EF284C" w:rsidRPr="00A643CF" w:rsidRDefault="00EF284C" w:rsidP="00931921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部门负责人签名：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</w:t>
      </w:r>
    </w:p>
    <w:p w:rsidR="00EF284C" w:rsidRPr="00A643CF" w:rsidRDefault="00EF284C" w:rsidP="00A643CF">
      <w:pPr>
        <w:widowControl/>
        <w:spacing w:line="560" w:lineRule="exact"/>
        <w:jc w:val="left"/>
        <w:rPr>
          <w:rFonts w:ascii="方正黑体简体" w:eastAsia="方正黑体简体" w:hAnsi="宋体" w:cs="宋体"/>
          <w:kern w:val="0"/>
          <w:sz w:val="32"/>
          <w:szCs w:val="32"/>
        </w:rPr>
      </w:pPr>
      <w:r w:rsidRPr="00A643CF">
        <w:rPr>
          <w:rFonts w:ascii="仿宋" w:eastAsia="仿宋" w:hAnsi="仿宋" w:cs="宋体" w:hint="eastAsia"/>
          <w:kern w:val="0"/>
          <w:sz w:val="28"/>
          <w:szCs w:val="28"/>
        </w:rPr>
        <w:t>分管领导签名：</w:t>
      </w:r>
      <w:r w:rsidRPr="00A643CF">
        <w:rPr>
          <w:rFonts w:ascii="仿宋" w:eastAsia="仿宋" w:hAnsi="仿宋" w:cs="宋体"/>
          <w:kern w:val="0"/>
          <w:sz w:val="28"/>
          <w:szCs w:val="28"/>
        </w:rPr>
        <w:t xml:space="preserve">     </w:t>
      </w:r>
      <w:r>
        <w:rPr>
          <w:rFonts w:ascii="方正黑体简体" w:eastAsia="方正黑体简体" w:hAnsi="宋体" w:cs="宋体"/>
          <w:kern w:val="0"/>
          <w:sz w:val="32"/>
          <w:szCs w:val="32"/>
        </w:rPr>
        <w:t xml:space="preserve"> </w:t>
      </w:r>
    </w:p>
    <w:sectPr w:rsidR="00EF284C" w:rsidRPr="00A643CF" w:rsidSect="002C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4C" w:rsidRDefault="00EF284C" w:rsidP="001E4626">
      <w:r>
        <w:separator/>
      </w:r>
    </w:p>
  </w:endnote>
  <w:endnote w:type="continuationSeparator" w:id="0">
    <w:p w:rsidR="00EF284C" w:rsidRDefault="00EF284C" w:rsidP="001E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>
    <w:pPr>
      <w:pStyle w:val="Footer"/>
      <w:jc w:val="center"/>
    </w:pPr>
    <w:fldSimple w:instr=" PAGE   \* MERGEFORMAT ">
      <w:r w:rsidRPr="00FA61E8">
        <w:rPr>
          <w:noProof/>
          <w:lang w:val="zh-CN"/>
        </w:rPr>
        <w:t>6</w:t>
      </w:r>
    </w:fldSimple>
  </w:p>
  <w:p w:rsidR="00EF284C" w:rsidRDefault="00EF28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4C" w:rsidRDefault="00EF284C" w:rsidP="001E4626">
      <w:r>
        <w:separator/>
      </w:r>
    </w:p>
  </w:footnote>
  <w:footnote w:type="continuationSeparator" w:id="0">
    <w:p w:rsidR="00EF284C" w:rsidRDefault="00EF284C" w:rsidP="001E4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 w:rsidP="00FA61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4C" w:rsidRDefault="00EF28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27"/>
    <w:rsid w:val="00071404"/>
    <w:rsid w:val="0007442B"/>
    <w:rsid w:val="001251DD"/>
    <w:rsid w:val="0018121A"/>
    <w:rsid w:val="001B212E"/>
    <w:rsid w:val="001E1B89"/>
    <w:rsid w:val="001E4626"/>
    <w:rsid w:val="001F1E9C"/>
    <w:rsid w:val="00243615"/>
    <w:rsid w:val="00277627"/>
    <w:rsid w:val="002C1FF8"/>
    <w:rsid w:val="003725D5"/>
    <w:rsid w:val="004B7CEA"/>
    <w:rsid w:val="00537EFC"/>
    <w:rsid w:val="00545570"/>
    <w:rsid w:val="005E27D1"/>
    <w:rsid w:val="00613368"/>
    <w:rsid w:val="00663A81"/>
    <w:rsid w:val="00795900"/>
    <w:rsid w:val="007F2026"/>
    <w:rsid w:val="0080468A"/>
    <w:rsid w:val="0081234C"/>
    <w:rsid w:val="00857687"/>
    <w:rsid w:val="008C3C52"/>
    <w:rsid w:val="00927DA6"/>
    <w:rsid w:val="00931921"/>
    <w:rsid w:val="00A548C3"/>
    <w:rsid w:val="00A643CF"/>
    <w:rsid w:val="00AA2C9D"/>
    <w:rsid w:val="00B72411"/>
    <w:rsid w:val="00C15E69"/>
    <w:rsid w:val="00C51159"/>
    <w:rsid w:val="00C8713D"/>
    <w:rsid w:val="00CB0103"/>
    <w:rsid w:val="00DD2FB8"/>
    <w:rsid w:val="00DD7EF7"/>
    <w:rsid w:val="00E44772"/>
    <w:rsid w:val="00E859AA"/>
    <w:rsid w:val="00EA0624"/>
    <w:rsid w:val="00EB1195"/>
    <w:rsid w:val="00EC633D"/>
    <w:rsid w:val="00EC7034"/>
    <w:rsid w:val="00EF24A4"/>
    <w:rsid w:val="00EF284C"/>
    <w:rsid w:val="00EF5A53"/>
    <w:rsid w:val="00F13B26"/>
    <w:rsid w:val="00F4305F"/>
    <w:rsid w:val="00F75C76"/>
    <w:rsid w:val="00FA61E8"/>
    <w:rsid w:val="00FB4B89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77627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277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Index5">
    <w:name w:val="index 5"/>
    <w:basedOn w:val="Normal"/>
    <w:autoRedefine/>
    <w:uiPriority w:val="99"/>
    <w:semiHidden/>
    <w:rsid w:val="002776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E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62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E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62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E462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2F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21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27010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item/%E5%86%B3%E7%AD%96/151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市广电总台关于开展廉洁风险点排查防控</dc:title>
  <dc:subject/>
  <dc:creator>a</dc:creator>
  <cp:keywords/>
  <dc:description/>
  <cp:lastModifiedBy>微软用户</cp:lastModifiedBy>
  <cp:revision>12</cp:revision>
  <cp:lastPrinted>2017-05-31T06:23:00Z</cp:lastPrinted>
  <dcterms:created xsi:type="dcterms:W3CDTF">2017-05-31T07:38:00Z</dcterms:created>
  <dcterms:modified xsi:type="dcterms:W3CDTF">2017-06-07T07:48:00Z</dcterms:modified>
</cp:coreProperties>
</file>